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6713F" w14:textId="77777777" w:rsidR="00A260C2" w:rsidRDefault="00FC4499" w:rsidP="00A260C2">
      <w:pPr>
        <w:pStyle w:val="berschrift1"/>
      </w:pPr>
      <w:r>
        <w:t>Die kartograph</w:t>
      </w:r>
      <w:r w:rsidR="00A260C2">
        <w:t>ische</w:t>
      </w:r>
      <w:r>
        <w:t xml:space="preserve"> Aufnahme der </w:t>
      </w:r>
      <w:proofErr w:type="spellStart"/>
      <w:r>
        <w:t>Milesia</w:t>
      </w:r>
      <w:proofErr w:type="spellEnd"/>
      <w:r>
        <w:t xml:space="preserve"> im Rahmen der Grabungen von Wiegand</w:t>
      </w:r>
      <w:r w:rsidR="00A260C2">
        <w:t xml:space="preserve"> </w:t>
      </w:r>
    </w:p>
    <w:p w14:paraId="11CC1979" w14:textId="763B3D61" w:rsidR="00A4669C" w:rsidRDefault="00A4669C" w:rsidP="00A4669C">
      <w:r>
        <w:t xml:space="preserve">In meinem Kurzvortrag möchte ich Ihnen gerne die kartographische Aufnahme der Stadt Milet und ihrer Umgebung aus den Jahren 1899 bis 1900 vorstellen. Verantwortlich für die Ausgrabungen war Theodor Wiegand, um die Kartographie kümmerte sich jedoch in erster Linie Paul </w:t>
      </w:r>
      <w:proofErr w:type="spellStart"/>
      <w:r>
        <w:t>Wilski</w:t>
      </w:r>
      <w:proofErr w:type="spellEnd"/>
      <w:r>
        <w:t xml:space="preserve"> mit wechselnden Assistenten. </w:t>
      </w:r>
    </w:p>
    <w:p w14:paraId="347676DA" w14:textId="17DCEF11" w:rsidR="00A260C2" w:rsidRDefault="00A260C2">
      <w:pPr>
        <w:rPr>
          <w:b/>
          <w:bCs/>
        </w:rPr>
      </w:pPr>
      <w:r w:rsidRPr="00A260C2">
        <w:rPr>
          <w:b/>
          <w:bCs/>
        </w:rPr>
        <w:t xml:space="preserve">Einleitende Worte zur Publikation </w:t>
      </w:r>
    </w:p>
    <w:p w14:paraId="71F7ADE8" w14:textId="5AC0CF8B" w:rsidR="00A4669C" w:rsidRPr="00A260C2" w:rsidRDefault="00A4669C" w:rsidP="00A4669C">
      <w:r>
        <w:t xml:space="preserve">Laut dem Vorwort zur Publikation von Theodor Wiegand war es das Ziel der zeitnahen Publikationen, das Wissen um die Fundstelle Milet rasch zugänglich zu machen. Die Vergangenheit hatte gezeigt, dass es nicht ratsam war, zu warten bis alle Ergebnisse vorlagen, denn schon manch ein Forscher war über eine zu langsam vorrangehende Veröffentlichung verstorben. Daher erschienen die Ergebnisse der Kampagnen vom Jahrhundertwechsel schon im Jahr 1906. Das Werk „Milet: Ergebnisse der Ausgrabungen und Untersuchungen seit dem Jahre 1899 Teil 1,1“ stellt die Kartographie </w:t>
      </w:r>
      <w:r w:rsidR="000707E2">
        <w:t xml:space="preserve">im Text von Paul </w:t>
      </w:r>
      <w:proofErr w:type="spellStart"/>
      <w:r w:rsidR="000707E2">
        <w:t>Wilski</w:t>
      </w:r>
      <w:proofErr w:type="spellEnd"/>
      <w:r w:rsidR="000707E2">
        <w:t xml:space="preserve"> </w:t>
      </w:r>
      <w:r>
        <w:t xml:space="preserve">ausführlich vor. </w:t>
      </w:r>
    </w:p>
    <w:p w14:paraId="4BFF0F47" w14:textId="69876072" w:rsidR="00A260C2" w:rsidRDefault="00A260C2">
      <w:pPr>
        <w:rPr>
          <w:b/>
          <w:bCs/>
        </w:rPr>
      </w:pPr>
      <w:r w:rsidRPr="00A260C2">
        <w:rPr>
          <w:b/>
          <w:bCs/>
        </w:rPr>
        <w:t xml:space="preserve">1. Fragestellung &amp; Ziel der Forschung </w:t>
      </w:r>
    </w:p>
    <w:p w14:paraId="098BEA15" w14:textId="1EB6A139" w:rsidR="00A4669C" w:rsidRPr="00A4669C" w:rsidRDefault="00A4669C">
      <w:r w:rsidRPr="00A4669C">
        <w:t>Das Ziel der Untersuchungen um Milet war eine Neuaufnahme der gesamten Landfläche in diesem Bereich. Dazu wurde eine umfangreiche Geländevermessung vorgenommen.</w:t>
      </w:r>
      <w:r w:rsidR="00541F89">
        <w:t xml:space="preserve"> Der Ausgräber Wiegand wollte am Ende der Arbeiten alle wichtigen Baustrukturen aus der Antike und aus der christlichen und der islamischen Epoche in einer topographischen Karte verzeichnen. Ein Stadt- und Umgebungsplan sollte entstehen. Paul </w:t>
      </w:r>
      <w:proofErr w:type="spellStart"/>
      <w:r w:rsidR="00541F89">
        <w:t>Wilski</w:t>
      </w:r>
      <w:proofErr w:type="spellEnd"/>
      <w:r w:rsidR="00541F89">
        <w:t xml:space="preserve"> führte vom Dezember 1899 bis zum Dezember 1900 die Vermessungsarbeiten durch und beschreibt seine Maßnahmen ausführlich in einem für die Zeit um 1900 in der Forschung üblichen Tagebuchstil. </w:t>
      </w:r>
    </w:p>
    <w:p w14:paraId="08A5FBB8" w14:textId="5F53D4CF" w:rsidR="00A260C2" w:rsidRDefault="00A260C2">
      <w:pPr>
        <w:rPr>
          <w:b/>
          <w:bCs/>
        </w:rPr>
      </w:pPr>
      <w:r w:rsidRPr="00A260C2">
        <w:rPr>
          <w:b/>
          <w:bCs/>
        </w:rPr>
        <w:t xml:space="preserve">2. Methoden </w:t>
      </w:r>
    </w:p>
    <w:p w14:paraId="6EFDA3C1" w14:textId="77777777" w:rsidR="00EE68B5" w:rsidRDefault="00541F89" w:rsidP="00F44E98">
      <w:r>
        <w:t xml:space="preserve">Für die Vermessungsarbeiten wurde das gesamte Gelände als Arbeitsgrundlage in vier Gebiete unterteilt. </w:t>
      </w:r>
      <w:r w:rsidRPr="00541F89">
        <w:rPr>
          <w:b/>
          <w:bCs/>
        </w:rPr>
        <w:t>Gebiet Eins</w:t>
      </w:r>
      <w:r>
        <w:t xml:space="preserve"> umfasste die Stadt Milet und ihren nächsten Umkreis. Dieses Gebiet wurde zunächst im Maßstab 1 : 2000 vermessen, da im Stadtgebiet durch die </w:t>
      </w:r>
      <w:r>
        <w:lastRenderedPageBreak/>
        <w:t xml:space="preserve">zahlreichen Bauten eine feinere Vermessungsstruktur angeraten war. </w:t>
      </w:r>
      <w:r w:rsidRPr="00541F89">
        <w:rPr>
          <w:b/>
          <w:bCs/>
        </w:rPr>
        <w:t>Gebiet Zwei</w:t>
      </w:r>
      <w:r>
        <w:t xml:space="preserve"> erfasste dann die südliche und westliche Umgebung Milets bis zur Mäandermündung, die als topographischer Orientierungspunkt gewählt wurde. Für dieses und die weiteren Gebiete wurde der Maßstab von 1 : 50.000 gewählt. </w:t>
      </w:r>
      <w:r w:rsidRPr="00F44E98">
        <w:rPr>
          <w:b/>
          <w:bCs/>
        </w:rPr>
        <w:t xml:space="preserve">Gebiet Drei </w:t>
      </w:r>
      <w:r>
        <w:t xml:space="preserve">enthielt logischerweise die nördliche und östliche Umgebung bis hin zu den Ruinen von </w:t>
      </w:r>
      <w:proofErr w:type="spellStart"/>
      <w:r>
        <w:t>Myus</w:t>
      </w:r>
      <w:proofErr w:type="spellEnd"/>
      <w:r>
        <w:t xml:space="preserve">. Für </w:t>
      </w:r>
      <w:r w:rsidRPr="00F44E98">
        <w:rPr>
          <w:b/>
          <w:bCs/>
        </w:rPr>
        <w:t>Gebiet Vier</w:t>
      </w:r>
      <w:r>
        <w:t xml:space="preserve"> wurde eine Erweiterung beschlossen, die sich über die Gegend zwischen der Mäandermündung und dem Plateau von </w:t>
      </w:r>
      <w:proofErr w:type="spellStart"/>
      <w:r>
        <w:t>Didyma</w:t>
      </w:r>
      <w:proofErr w:type="spellEnd"/>
      <w:r>
        <w:t xml:space="preserve"> erstreckte. </w:t>
      </w:r>
      <w:r w:rsidR="00EE68B5">
        <w:t xml:space="preserve">Gebiet Eins mit der Stadt wurde hauptsächlich von Wiegand selbst bearbeitet, während ansonsten </w:t>
      </w:r>
      <w:proofErr w:type="spellStart"/>
      <w:r w:rsidR="00EE68B5">
        <w:t>Wilski</w:t>
      </w:r>
      <w:proofErr w:type="spellEnd"/>
      <w:r w:rsidR="00EE68B5">
        <w:t xml:space="preserve"> zuständig war. </w:t>
      </w:r>
    </w:p>
    <w:p w14:paraId="779303F3" w14:textId="396E83B2" w:rsidR="00F44E98" w:rsidRDefault="00EE68B5" w:rsidP="00F44E98">
      <w:r>
        <w:t xml:space="preserve">Die Grundlage für die Arbeiten bildete ein Netz aus Vermessungspunkten, die später auf eine Augenmaßzeichnung übertragen wurden. Zur Vermessung arbeitete </w:t>
      </w:r>
      <w:proofErr w:type="spellStart"/>
      <w:r>
        <w:t>Wilski</w:t>
      </w:r>
      <w:proofErr w:type="spellEnd"/>
      <w:r>
        <w:t xml:space="preserve"> zunächst mit einem Repetitionstheodoliten bestehend aus Höhenkreis, Zeigerlibelle, Reitlibelle, Nivellierlibelle, Okularprisma, Fadendistanzmesser und Bussole. Mittel Theodolit konnte er </w:t>
      </w:r>
      <w:r w:rsidR="00EC0F1E">
        <w:t xml:space="preserve">die geographische Ortsbestimmung durchführen und eine Triangulation am jeweiligen Standort. Daneben nahm er trigonometrische Höhenmessungen vor und erhob </w:t>
      </w:r>
      <w:proofErr w:type="spellStart"/>
      <w:r w:rsidR="00EC0F1E">
        <w:t>tachymetrische</w:t>
      </w:r>
      <w:proofErr w:type="spellEnd"/>
      <w:r w:rsidR="00EC0F1E">
        <w:t xml:space="preserve"> Aufnahmen und Depressionswinkelmessungen. So erhielt er ein möglichst genaues Messbild des gesamten Geländes. Zur Messung der Lufttemperaturen und Umweltbedingungen dienten verschiedene meteorologische Instrumente, wie Aspirationsthermometer, </w:t>
      </w:r>
      <w:proofErr w:type="spellStart"/>
      <w:r w:rsidR="00EC0F1E">
        <w:t>Bohnesches</w:t>
      </w:r>
      <w:proofErr w:type="spellEnd"/>
      <w:r w:rsidR="00EC0F1E">
        <w:t xml:space="preserve"> Aneroid, Barograph, Thermograph und Quecksilberbarometer, die ein wohlhabender Freiherr und Professor zur Verfügung stellte. </w:t>
      </w:r>
      <w:r w:rsidR="003938BA">
        <w:t xml:space="preserve">Die Bestimmung der geographischen Breite wurde durch die Messung einer Reihe von Sonnenhöhen und Sonnenazimuten durchgeführt. </w:t>
      </w:r>
    </w:p>
    <w:p w14:paraId="5FBF243F" w14:textId="3BC42855" w:rsidR="003938BA" w:rsidRPr="00A260C2" w:rsidRDefault="003938BA" w:rsidP="00F44E98">
      <w:r>
        <w:t xml:space="preserve">Neben den eigentlichen Vermessungen führte </w:t>
      </w:r>
      <w:proofErr w:type="spellStart"/>
      <w:r>
        <w:t>Wilski</w:t>
      </w:r>
      <w:proofErr w:type="spellEnd"/>
      <w:r>
        <w:t xml:space="preserve"> mit wechselnden Begleitern auch Feldbegehungen durch, zu denen er in seinem Text gelegentlich Beobachtungen schildert. </w:t>
      </w:r>
    </w:p>
    <w:p w14:paraId="3C0385C8" w14:textId="6F4C14E6" w:rsidR="00A260C2" w:rsidRDefault="00A260C2">
      <w:pPr>
        <w:rPr>
          <w:b/>
          <w:bCs/>
        </w:rPr>
      </w:pPr>
      <w:r w:rsidRPr="00A260C2">
        <w:rPr>
          <w:b/>
          <w:bCs/>
        </w:rPr>
        <w:t xml:space="preserve">3. Wichtigste Ergebnisse </w:t>
      </w:r>
    </w:p>
    <w:p w14:paraId="54CABB75" w14:textId="65981937" w:rsidR="003938BA" w:rsidRDefault="003938BA" w:rsidP="003938BA">
      <w:r>
        <w:t xml:space="preserve">Das maßgebliche Ergebnis der gerade vorgestellten Untersuchungen war die Abbildung der Topographie um Milet – der sogenannten </w:t>
      </w:r>
      <w:proofErr w:type="spellStart"/>
      <w:r>
        <w:t>Milesia</w:t>
      </w:r>
      <w:proofErr w:type="spellEnd"/>
      <w:r>
        <w:t xml:space="preserve">. Am Ende des 19. Jahrhunderts waren viele Bereiche der Landkarte nur unzureichend oder gar nicht erfasst. Daher war es auch kaum möglich, archäologische Funde und Befunde – wie die antiken Bauten von Milet – korrekt </w:t>
      </w:r>
      <w:r>
        <w:lastRenderedPageBreak/>
        <w:t xml:space="preserve">einzutragen und das Wiederfinden von Strukturen im offenen Gelände war oft nahezu unmöglich. Arbeiten wie die von Wiegand und </w:t>
      </w:r>
      <w:proofErr w:type="spellStart"/>
      <w:r>
        <w:t>Wilski</w:t>
      </w:r>
      <w:proofErr w:type="spellEnd"/>
      <w:r>
        <w:t xml:space="preserve"> sollten dies ändern. </w:t>
      </w:r>
    </w:p>
    <w:p w14:paraId="18F696AC" w14:textId="77777777" w:rsidR="00F74A9E" w:rsidRDefault="003938BA" w:rsidP="003938BA">
      <w:r>
        <w:t xml:space="preserve">Bei der Bestimmung der geographischen Breite erhielt </w:t>
      </w:r>
      <w:proofErr w:type="spellStart"/>
      <w:r>
        <w:t>Wilski</w:t>
      </w:r>
      <w:proofErr w:type="spellEnd"/>
      <w:r>
        <w:t xml:space="preserve"> Werte von 37° 31‘ 05‘‘ gegen 37° 32‘ 37‘‘ der englischen Seekarte. Gewisse Abweichungen der Messungen dieser Zeit waren nicht weiter ungewöhnlich und wurden toleriert. </w:t>
      </w:r>
      <w:r w:rsidR="00A154B4">
        <w:t>Es wurde insgesamt eine Fläche von 462 qkm vollkommen neu aufgenommen</w:t>
      </w:r>
      <w:r w:rsidR="006637A2">
        <w:t xml:space="preserve">. Die Grundlage war das Netz aus trigonometrisch bestimmten Vermessungspunkten. Messpunkte bildeten zumeist markante Positionen der Landschaft wie beispielsweise der höchste Gipfel von </w:t>
      </w:r>
      <w:proofErr w:type="spellStart"/>
      <w:r w:rsidR="006637A2">
        <w:t>Latmos</w:t>
      </w:r>
      <w:proofErr w:type="spellEnd"/>
      <w:r w:rsidR="006A2310">
        <w:t>,</w:t>
      </w:r>
      <w:r w:rsidR="006637A2">
        <w:t xml:space="preserve"> die Akropolis von </w:t>
      </w:r>
      <w:proofErr w:type="spellStart"/>
      <w:r w:rsidR="006637A2">
        <w:t>Priene</w:t>
      </w:r>
      <w:proofErr w:type="spellEnd"/>
      <w:r w:rsidR="006A2310">
        <w:t xml:space="preserve"> oder der Kirchturm von </w:t>
      </w:r>
      <w:proofErr w:type="spellStart"/>
      <w:r w:rsidR="006A2310">
        <w:t>Akko</w:t>
      </w:r>
      <w:proofErr w:type="spellEnd"/>
      <w:r w:rsidR="006637A2">
        <w:t xml:space="preserve">. Teilweise errichteten </w:t>
      </w:r>
      <w:proofErr w:type="spellStart"/>
      <w:r w:rsidR="006637A2">
        <w:t>Wilski</w:t>
      </w:r>
      <w:proofErr w:type="spellEnd"/>
      <w:r w:rsidR="006637A2">
        <w:t xml:space="preserve"> oder einer seiner Assistenten aber auch künstliche Steinmandeln</w:t>
      </w:r>
      <w:r w:rsidR="00A079AE">
        <w:t xml:space="preserve"> mit Kalkverputz</w:t>
      </w:r>
      <w:r w:rsidR="006637A2">
        <w:t xml:space="preserve">, wenn kein markanter Punkt vorhanden war. </w:t>
      </w:r>
      <w:r w:rsidR="00A079AE">
        <w:t xml:space="preserve">Störende Wäldchen im Messareal wurden gerodet. Das erweiterte Stadtgebiet von Milet (Gebiet Eins) mit seinen 5 qkm umfasste lediglich die Punkte 1 bis 14. Die Abstände zwischen den Punkten wurden zumeist mit einem Stahlband </w:t>
      </w:r>
      <w:proofErr w:type="spellStart"/>
      <w:r w:rsidR="00A079AE">
        <w:t>aufgemessen</w:t>
      </w:r>
      <w:proofErr w:type="spellEnd"/>
      <w:r w:rsidR="00A079AE">
        <w:t xml:space="preserve">. Das Dreiecksnetz von Milet wurde als Orientierungsgrundlage für die weiteren Messungen verwendet und zu dem der Stadt </w:t>
      </w:r>
      <w:proofErr w:type="spellStart"/>
      <w:r w:rsidR="00A079AE">
        <w:t>Priene</w:t>
      </w:r>
      <w:proofErr w:type="spellEnd"/>
      <w:r w:rsidR="00A079AE">
        <w:t xml:space="preserve"> in Bezug gesetzt, die Herr Kummer 1897 vermessen hatte und die nur 15 km entfernt lag. </w:t>
      </w:r>
      <w:r w:rsidR="006A2310">
        <w:t xml:space="preserve">Das nördliche Gebiet war hauptsächlich vom Schwemmland des Mäanderflusses bedeckt und weithin einzusehen, während das südliche Gebiet durch sein mehrfach </w:t>
      </w:r>
      <w:proofErr w:type="spellStart"/>
      <w:r w:rsidR="006A2310">
        <w:t>getrepptes</w:t>
      </w:r>
      <w:proofErr w:type="spellEnd"/>
      <w:r w:rsidR="006A2310">
        <w:t xml:space="preserve"> Plateau eine komplizierte Vermessungsaufgabe darstellte. </w:t>
      </w:r>
      <w:r w:rsidR="00D66F9B">
        <w:t xml:space="preserve">Nachdem ein grundlegendes Netz erstellt worden war, erfassten </w:t>
      </w:r>
      <w:proofErr w:type="spellStart"/>
      <w:r w:rsidR="00D66F9B">
        <w:t>Wilski</w:t>
      </w:r>
      <w:proofErr w:type="spellEnd"/>
      <w:r w:rsidR="00D66F9B">
        <w:t xml:space="preserve"> und sein Team die einzelnen Bereiche, indem sie immer wieder das Quartier wechselten und von dort strahlenartig bei der Vermessung vorgingen. Lokale Hirten dienten als Wegführer, das Team begab sich zu den Vermessungspunkten und </w:t>
      </w:r>
      <w:proofErr w:type="spellStart"/>
      <w:r w:rsidR="00D66F9B">
        <w:t>Wilski</w:t>
      </w:r>
      <w:proofErr w:type="spellEnd"/>
      <w:r w:rsidR="00D66F9B">
        <w:t xml:space="preserve"> saß in der Landschaft, um die Augenmaßzeichnungen der Umgebung anzulegen</w:t>
      </w:r>
      <w:r w:rsidR="00E33F07">
        <w:t xml:space="preserve">. Darauf vermerkte er dann die Messwerte und korrigierte die Zeichnungen bei Bedarf, wenn er weiter durchs Gelände ging und Fehler darauf bemerkte. Alleine im südlichen Gebiet wurden an 195 Punkten über 1070 Messungen erhoben. Neben den rein kartographischen Messungen dokumentierte </w:t>
      </w:r>
      <w:proofErr w:type="spellStart"/>
      <w:r w:rsidR="00E33F07">
        <w:t>Wilski</w:t>
      </w:r>
      <w:proofErr w:type="spellEnd"/>
      <w:r w:rsidR="00E33F07">
        <w:t xml:space="preserve"> auch akribisch die Veränderungen des Luftdrucks über die Tageszeiten und </w:t>
      </w:r>
      <w:r w:rsidR="000707E2">
        <w:t xml:space="preserve">die </w:t>
      </w:r>
      <w:r w:rsidR="00E33F07">
        <w:t xml:space="preserve">Meeresströmungen und die Schlammablagerungen im Schwemmland. </w:t>
      </w:r>
    </w:p>
    <w:p w14:paraId="2CB54704" w14:textId="49AD5083" w:rsidR="00B32C52" w:rsidRDefault="00E33F07" w:rsidP="003938BA">
      <w:r>
        <w:lastRenderedPageBreak/>
        <w:t xml:space="preserve">Den Abschluss der Vermessungen </w:t>
      </w:r>
      <w:r w:rsidR="00B32C52">
        <w:t xml:space="preserve">bildete natürlich das Zusammensetzen des Ganzen zu einer großen Karte. Es war bereits hinlänglich bekannt, dass dabei stets Abweichungen bestehen, die sich in der Zusammensetzung dann besonders zeigen. Es wurde daher erwogen, die Methode der kleinsten Quadrate nach Gauß anzuwenden, was aber einen erhöhten Rechenaufwand erforderte. Zur Probe wurde das Verfahren für Gebiet Eins angewendet – es ergaben sich lediglich Abweichungen um 1 bis 7 m – was auf das Gesamtgebiet ausgelegt nicht übermäßig ist. Auch bei der Depressionswinkel-Aufnahme ergaben sich besonders durch die nicht immer bekannten Lichtbrechungsverhältnisse einige Fehler, die jedoch ebenfalls übersichtlich sind. </w:t>
      </w:r>
    </w:p>
    <w:p w14:paraId="170C3CDB" w14:textId="1198A12A" w:rsidR="003938BA" w:rsidRDefault="00B32C52" w:rsidP="003938BA">
      <w:r>
        <w:t xml:space="preserve">Aller Messfehler zum Trotz hatte </w:t>
      </w:r>
      <w:proofErr w:type="spellStart"/>
      <w:r>
        <w:t>Wilski</w:t>
      </w:r>
      <w:proofErr w:type="spellEnd"/>
      <w:r>
        <w:t xml:space="preserve"> am Schluss eine Augenmaßzeichnung erstellt, die in Kombination mit </w:t>
      </w:r>
      <w:r w:rsidR="00F74A9E">
        <w:t>d</w:t>
      </w:r>
      <w:r>
        <w:t xml:space="preserve">er darüber zu legenden Pause mit den Messpunkten ein treffendes kartographisches Bild der gesamten zuvor noch </w:t>
      </w:r>
      <w:proofErr w:type="spellStart"/>
      <w:r>
        <w:t>unvermessenen</w:t>
      </w:r>
      <w:proofErr w:type="spellEnd"/>
      <w:r>
        <w:t xml:space="preserve"> Region ergab. Für die Eintragung der Ortsnamen zog er nicht nur das </w:t>
      </w:r>
      <w:r w:rsidR="000707E2">
        <w:t xml:space="preserve">Ortsnamenregister zu Rate, sondern befragte auch die </w:t>
      </w:r>
      <w:proofErr w:type="spellStart"/>
      <w:r w:rsidR="000707E2">
        <w:t>griechischsprachige</w:t>
      </w:r>
      <w:proofErr w:type="spellEnd"/>
      <w:r w:rsidR="000707E2">
        <w:t xml:space="preserve"> Bevölkerung – besonders seine Arbeiter. Für Nachbesserungen auf der Karte und an den Ortsnamen unternahm er auch später noch Reisen, um vor Ort die Änderungen nach Empfehlungen der jeweiligen Einwohner vorzunehmen. </w:t>
      </w:r>
      <w:r w:rsidR="00F74A9E">
        <w:t xml:space="preserve">So legte er die Grundlage für alle späteren archäologischen Aufnahmen und Vermessungen des gesamten Gebietes um Milet. </w:t>
      </w:r>
      <w:r w:rsidR="00E33F07">
        <w:t xml:space="preserve"> </w:t>
      </w:r>
    </w:p>
    <w:p w14:paraId="608CFE09" w14:textId="1BFA95F5" w:rsidR="00A260C2" w:rsidRDefault="00A260C2"/>
    <w:p w14:paraId="7757A70D" w14:textId="448D5A47" w:rsidR="00A260C2" w:rsidRDefault="00A260C2">
      <w:r w:rsidRPr="00A260C2">
        <w:rPr>
          <w:b/>
          <w:bCs/>
        </w:rPr>
        <w:t>Quelle:</w:t>
      </w:r>
      <w:r>
        <w:t xml:space="preserve"> </w:t>
      </w:r>
      <w:proofErr w:type="spellStart"/>
      <w:r>
        <w:t>Wilski</w:t>
      </w:r>
      <w:proofErr w:type="spellEnd"/>
      <w:r>
        <w:t>, P. In: Wiegand, T. (Hrsg.), Milet: Ergeb</w:t>
      </w:r>
      <w:r w:rsidR="000707E2">
        <w:t>n</w:t>
      </w:r>
      <w:r>
        <w:t>isse der Ausgrabungen und Untersuchungen seit dem Jahre 1899 (Band 1,1): Karte der Milesischen Halbinsel (1 : 50.000). Berlin (1906) 1 – 17.</w:t>
      </w:r>
    </w:p>
    <w:sectPr w:rsidR="00A260C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7E2955"/>
    <w:multiLevelType w:val="hybridMultilevel"/>
    <w:tmpl w:val="A0CACC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B262E27"/>
    <w:multiLevelType w:val="hybridMultilevel"/>
    <w:tmpl w:val="A0BA94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C322C06"/>
    <w:multiLevelType w:val="hybridMultilevel"/>
    <w:tmpl w:val="3F96AA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499"/>
    <w:rsid w:val="000707E2"/>
    <w:rsid w:val="003938BA"/>
    <w:rsid w:val="003A6628"/>
    <w:rsid w:val="00410E4F"/>
    <w:rsid w:val="00454802"/>
    <w:rsid w:val="00487179"/>
    <w:rsid w:val="00541F89"/>
    <w:rsid w:val="006637A2"/>
    <w:rsid w:val="006A2310"/>
    <w:rsid w:val="006D55D6"/>
    <w:rsid w:val="007439DA"/>
    <w:rsid w:val="00804275"/>
    <w:rsid w:val="00A079AE"/>
    <w:rsid w:val="00A154B4"/>
    <w:rsid w:val="00A260C2"/>
    <w:rsid w:val="00A4669C"/>
    <w:rsid w:val="00B32C52"/>
    <w:rsid w:val="00D66F9B"/>
    <w:rsid w:val="00E33F07"/>
    <w:rsid w:val="00EC0F1E"/>
    <w:rsid w:val="00EE68B5"/>
    <w:rsid w:val="00F44E98"/>
    <w:rsid w:val="00F74A9E"/>
    <w:rsid w:val="00FC44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03848"/>
  <w15:chartTrackingRefBased/>
  <w15:docId w15:val="{546FB813-F483-4E89-9837-25D372FD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A6628"/>
    <w:pPr>
      <w:spacing w:after="0" w:line="480" w:lineRule="auto"/>
      <w:jc w:val="both"/>
    </w:pPr>
    <w:rPr>
      <w:rFonts w:ascii="Arial" w:hAnsi="Arial"/>
    </w:rPr>
  </w:style>
  <w:style w:type="paragraph" w:styleId="berschrift1">
    <w:name w:val="heading 1"/>
    <w:basedOn w:val="Standard"/>
    <w:next w:val="Standard"/>
    <w:link w:val="berschrift1Zchn"/>
    <w:uiPriority w:val="9"/>
    <w:qFormat/>
    <w:rsid w:val="003A6628"/>
    <w:pPr>
      <w:keepNext/>
      <w:keepLines/>
      <w:spacing w:before="360" w:after="120"/>
      <w:jc w:val="left"/>
      <w:outlineLvl w:val="0"/>
    </w:pPr>
    <w:rPr>
      <w:rFonts w:eastAsiaTheme="majorEastAsia" w:cstheme="majorBidi"/>
      <w:b/>
      <w:sz w:val="24"/>
      <w:szCs w:val="32"/>
    </w:rPr>
  </w:style>
  <w:style w:type="paragraph" w:styleId="berschrift2">
    <w:name w:val="heading 2"/>
    <w:basedOn w:val="Standard"/>
    <w:next w:val="Standard"/>
    <w:link w:val="berschrift2Zchn"/>
    <w:uiPriority w:val="9"/>
    <w:semiHidden/>
    <w:unhideWhenUsed/>
    <w:qFormat/>
    <w:rsid w:val="003A6628"/>
    <w:pPr>
      <w:keepNext/>
      <w:keepLines/>
      <w:spacing w:before="160" w:after="120"/>
      <w:outlineLvl w:val="1"/>
    </w:pPr>
    <w:rPr>
      <w:rFonts w:eastAsiaTheme="majorEastAsia" w:cstheme="majorBidi"/>
      <w:b/>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rsid w:val="003A6628"/>
    <w:rPr>
      <w:rFonts w:ascii="Arial" w:eastAsiaTheme="majorEastAsia" w:hAnsi="Arial" w:cstheme="majorBidi"/>
      <w:b/>
      <w:szCs w:val="26"/>
    </w:rPr>
  </w:style>
  <w:style w:type="character" w:customStyle="1" w:styleId="berschrift1Zchn">
    <w:name w:val="Überschrift 1 Zchn"/>
    <w:basedOn w:val="Absatz-Standardschriftart"/>
    <w:link w:val="berschrift1"/>
    <w:uiPriority w:val="9"/>
    <w:rsid w:val="003A6628"/>
    <w:rPr>
      <w:rFonts w:ascii="Arial" w:eastAsiaTheme="majorEastAsia" w:hAnsi="Arial" w:cstheme="majorBidi"/>
      <w:b/>
      <w:sz w:val="24"/>
      <w:szCs w:val="32"/>
    </w:rPr>
  </w:style>
  <w:style w:type="paragraph" w:styleId="StandardWeb">
    <w:name w:val="Normal (Web)"/>
    <w:basedOn w:val="Standard"/>
    <w:uiPriority w:val="99"/>
    <w:semiHidden/>
    <w:unhideWhenUsed/>
    <w:rsid w:val="00FC4499"/>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FC4499"/>
    <w:rPr>
      <w:b/>
      <w:bCs/>
    </w:rPr>
  </w:style>
  <w:style w:type="character" w:styleId="Hyperlink">
    <w:name w:val="Hyperlink"/>
    <w:basedOn w:val="Absatz-Standardschriftart"/>
    <w:uiPriority w:val="99"/>
    <w:semiHidden/>
    <w:unhideWhenUsed/>
    <w:rsid w:val="00FC4499"/>
    <w:rPr>
      <w:color w:val="0000FF"/>
      <w:u w:val="single"/>
    </w:rPr>
  </w:style>
  <w:style w:type="paragraph" w:styleId="Listenabsatz">
    <w:name w:val="List Paragraph"/>
    <w:basedOn w:val="Standard"/>
    <w:uiPriority w:val="34"/>
    <w:qFormat/>
    <w:rsid w:val="00A260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1260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1111</Words>
  <Characters>7002</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 Lektor</dc:creator>
  <cp:keywords/>
  <dc:description/>
  <cp:lastModifiedBy>Johanna Ritter-Burkert</cp:lastModifiedBy>
  <cp:revision>7</cp:revision>
  <dcterms:created xsi:type="dcterms:W3CDTF">2020-05-19T16:45:00Z</dcterms:created>
  <dcterms:modified xsi:type="dcterms:W3CDTF">2020-05-20T08:55:00Z</dcterms:modified>
</cp:coreProperties>
</file>